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9DBEA" w14:textId="77777777" w:rsidR="00532355" w:rsidRPr="00B34CE6" w:rsidRDefault="00091B63" w:rsidP="008B7AD3">
      <w:pPr>
        <w:pBdr>
          <w:top w:val="thickThinLargeGap" w:sz="24" w:space="1" w:color="auto"/>
          <w:bottom w:val="thinThickLargeGap" w:sz="24" w:space="1" w:color="auto"/>
        </w:pBdr>
        <w:jc w:val="center"/>
        <w:rPr>
          <w:rFonts w:asciiTheme="majorHAnsi" w:hAnsiTheme="majorHAnsi"/>
          <w:b/>
          <w:sz w:val="32"/>
        </w:rPr>
      </w:pPr>
      <w:r w:rsidRPr="00B34CE6">
        <w:rPr>
          <w:rFonts w:asciiTheme="majorHAnsi" w:hAnsiTheme="majorHAnsi"/>
          <w:b/>
          <w:sz w:val="32"/>
        </w:rPr>
        <w:t>State of Oregon Research Academy</w:t>
      </w:r>
    </w:p>
    <w:p w14:paraId="61998310" w14:textId="50F2BFF8" w:rsidR="00EC2506" w:rsidRDefault="00091B63" w:rsidP="00EC2506">
      <w:pPr>
        <w:pBdr>
          <w:top w:val="thickThinLargeGap" w:sz="24" w:space="1" w:color="auto"/>
          <w:bottom w:val="thinThickLargeGap" w:sz="24" w:space="1" w:color="auto"/>
        </w:pBdr>
        <w:jc w:val="center"/>
        <w:rPr>
          <w:rFonts w:asciiTheme="majorHAnsi" w:hAnsiTheme="majorHAnsi"/>
          <w:b/>
          <w:sz w:val="32"/>
        </w:rPr>
      </w:pPr>
      <w:r w:rsidRPr="00B34CE6">
        <w:rPr>
          <w:rFonts w:asciiTheme="majorHAnsi" w:hAnsiTheme="majorHAnsi"/>
          <w:b/>
          <w:sz w:val="32"/>
        </w:rPr>
        <w:t>Charter and Bylaws</w:t>
      </w:r>
    </w:p>
    <w:p w14:paraId="59A3B322" w14:textId="77777777" w:rsidR="00091B63" w:rsidRPr="00B34CE6" w:rsidRDefault="00091B63" w:rsidP="008B7AD3"/>
    <w:tbl>
      <w:tblPr>
        <w:tblStyle w:val="TableGrid"/>
        <w:tblW w:w="0" w:type="auto"/>
        <w:tblCellMar>
          <w:top w:w="72" w:type="dxa"/>
          <w:left w:w="115" w:type="dxa"/>
          <w:bottom w:w="115" w:type="dxa"/>
          <w:right w:w="115" w:type="dxa"/>
        </w:tblCellMar>
        <w:tblLook w:val="04A0" w:firstRow="1" w:lastRow="0" w:firstColumn="1" w:lastColumn="0" w:noHBand="0" w:noVBand="1"/>
      </w:tblPr>
      <w:tblGrid>
        <w:gridCol w:w="2255"/>
        <w:gridCol w:w="7095"/>
      </w:tblGrid>
      <w:tr w:rsidR="00091B63" w:rsidRPr="00B34CE6" w14:paraId="1B42752A" w14:textId="77777777" w:rsidTr="00C61D80">
        <w:trPr>
          <w:cantSplit/>
        </w:trPr>
        <w:tc>
          <w:tcPr>
            <w:tcW w:w="2268" w:type="dxa"/>
            <w:shd w:val="clear" w:color="auto" w:fill="92CDDC" w:themeFill="accent5" w:themeFillTint="99"/>
          </w:tcPr>
          <w:p w14:paraId="781C05B3" w14:textId="77777777" w:rsidR="00091B63" w:rsidRPr="00B34CE6" w:rsidRDefault="00091B63" w:rsidP="008B7AD3">
            <w:pPr>
              <w:rPr>
                <w:rFonts w:asciiTheme="majorHAnsi" w:hAnsiTheme="majorHAnsi"/>
                <w:b/>
                <w:sz w:val="28"/>
              </w:rPr>
            </w:pPr>
            <w:r w:rsidRPr="00B34CE6">
              <w:rPr>
                <w:rFonts w:asciiTheme="majorHAnsi" w:hAnsiTheme="majorHAnsi"/>
                <w:b/>
                <w:sz w:val="28"/>
              </w:rPr>
              <w:t>Organization</w:t>
            </w:r>
          </w:p>
        </w:tc>
        <w:tc>
          <w:tcPr>
            <w:tcW w:w="7308" w:type="dxa"/>
            <w:shd w:val="clear" w:color="auto" w:fill="92CDDC" w:themeFill="accent5" w:themeFillTint="99"/>
          </w:tcPr>
          <w:p w14:paraId="6613A8E0" w14:textId="77777777" w:rsidR="00091B63" w:rsidRPr="00B34CE6" w:rsidRDefault="00091B63" w:rsidP="008B7AD3">
            <w:pPr>
              <w:rPr>
                <w:b/>
                <w:sz w:val="28"/>
              </w:rPr>
            </w:pPr>
            <w:r w:rsidRPr="00B34CE6">
              <w:rPr>
                <w:b/>
                <w:sz w:val="28"/>
              </w:rPr>
              <w:t>State of Oregon Research Academy (SORA)</w:t>
            </w:r>
          </w:p>
        </w:tc>
      </w:tr>
      <w:tr w:rsidR="00091B63" w:rsidRPr="00B34CE6" w14:paraId="289198F3" w14:textId="77777777" w:rsidTr="00C61D80">
        <w:trPr>
          <w:cantSplit/>
        </w:trPr>
        <w:tc>
          <w:tcPr>
            <w:tcW w:w="2268" w:type="dxa"/>
            <w:shd w:val="clear" w:color="auto" w:fill="DAEEF3" w:themeFill="accent5" w:themeFillTint="33"/>
          </w:tcPr>
          <w:p w14:paraId="5F95934A" w14:textId="77777777" w:rsidR="00091B63" w:rsidRPr="00B34CE6" w:rsidRDefault="00091B63" w:rsidP="008B7AD3">
            <w:pPr>
              <w:rPr>
                <w:rFonts w:asciiTheme="majorHAnsi" w:hAnsiTheme="majorHAnsi"/>
                <w:b/>
              </w:rPr>
            </w:pPr>
            <w:r w:rsidRPr="00B34CE6">
              <w:rPr>
                <w:rFonts w:asciiTheme="majorHAnsi" w:hAnsiTheme="majorHAnsi"/>
                <w:b/>
              </w:rPr>
              <w:t>Purpose</w:t>
            </w:r>
          </w:p>
        </w:tc>
        <w:tc>
          <w:tcPr>
            <w:tcW w:w="7308" w:type="dxa"/>
          </w:tcPr>
          <w:p w14:paraId="08405F38" w14:textId="309682EB" w:rsidR="00091B63" w:rsidRPr="00B34CE6" w:rsidRDefault="00091B63" w:rsidP="00AD67C6">
            <w:r w:rsidRPr="00B34CE6">
              <w:t xml:space="preserve">The State of Oregon Research Academy (SORA) was created to offer </w:t>
            </w:r>
            <w:r w:rsidR="00AD67C6">
              <w:t>those working for</w:t>
            </w:r>
            <w:r w:rsidRPr="00B34CE6">
              <w:t xml:space="preserve"> the State of Oregon an opportunity to network, build connections for collaboration, and learn about research, data, and statistics.</w:t>
            </w:r>
          </w:p>
        </w:tc>
      </w:tr>
    </w:tbl>
    <w:p w14:paraId="74A55F31" w14:textId="77777777" w:rsidR="002047EB" w:rsidRDefault="002047EB" w:rsidP="008B7AD3">
      <w:pPr>
        <w:rPr>
          <w:rFonts w:asciiTheme="majorHAnsi" w:hAnsiTheme="majorHAnsi"/>
          <w:b/>
        </w:rPr>
        <w:sectPr w:rsidR="002047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Style w:val="TableGrid"/>
        <w:tblW w:w="0" w:type="auto"/>
        <w:tblCellMar>
          <w:top w:w="72" w:type="dxa"/>
          <w:left w:w="115" w:type="dxa"/>
          <w:bottom w:w="115" w:type="dxa"/>
          <w:right w:w="115" w:type="dxa"/>
        </w:tblCellMar>
        <w:tblLook w:val="04A0" w:firstRow="1" w:lastRow="0" w:firstColumn="1" w:lastColumn="0" w:noHBand="0" w:noVBand="1"/>
      </w:tblPr>
      <w:tblGrid>
        <w:gridCol w:w="2240"/>
        <w:gridCol w:w="7110"/>
      </w:tblGrid>
      <w:tr w:rsidR="00091B63" w:rsidRPr="00B34CE6" w14:paraId="2BDFA196" w14:textId="77777777" w:rsidTr="00C61D80">
        <w:trPr>
          <w:cantSplit/>
        </w:trPr>
        <w:tc>
          <w:tcPr>
            <w:tcW w:w="2268" w:type="dxa"/>
            <w:shd w:val="clear" w:color="auto" w:fill="DAEEF3" w:themeFill="accent5" w:themeFillTint="33"/>
          </w:tcPr>
          <w:p w14:paraId="0741CE7E" w14:textId="77777777" w:rsidR="00091B63" w:rsidRPr="00B34CE6" w:rsidRDefault="00091B63" w:rsidP="008B7AD3">
            <w:pPr>
              <w:rPr>
                <w:rFonts w:asciiTheme="majorHAnsi" w:hAnsiTheme="majorHAnsi"/>
                <w:b/>
              </w:rPr>
            </w:pPr>
            <w:r w:rsidRPr="00B34CE6">
              <w:rPr>
                <w:rFonts w:asciiTheme="majorHAnsi" w:hAnsiTheme="majorHAnsi"/>
                <w:b/>
              </w:rPr>
              <w:t>Membership</w:t>
            </w:r>
          </w:p>
        </w:tc>
        <w:tc>
          <w:tcPr>
            <w:tcW w:w="7308" w:type="dxa"/>
          </w:tcPr>
          <w:p w14:paraId="453D6ED9" w14:textId="77777777" w:rsidR="009379BD" w:rsidRDefault="009379BD" w:rsidP="009379BD">
            <w:r>
              <w:t>Membership is open to anyone who shares an interest in SORA.</w:t>
            </w:r>
          </w:p>
          <w:p w14:paraId="479CF870" w14:textId="33419D43" w:rsidR="00F860E3" w:rsidRDefault="00F860E3" w:rsidP="008B7AD3">
            <w:r>
              <w:t>SORA will maintain a membership list of i</w:t>
            </w:r>
            <w:bookmarkStart w:id="0" w:name="_GoBack"/>
            <w:bookmarkEnd w:id="0"/>
            <w:r>
              <w:t>nterested parties to facilitate communication and advertisement of upcoming events. Joining as a SORA member means being added to the e-mail distribution list and receiving periodic e-mails from the Executive Committee.</w:t>
            </w:r>
          </w:p>
          <w:p w14:paraId="5499F8C2" w14:textId="77B171DA" w:rsidR="002047EB" w:rsidRPr="00B34CE6" w:rsidRDefault="00811F3B" w:rsidP="008B7AD3">
            <w:r w:rsidRPr="00B34CE6">
              <w:t xml:space="preserve">In the interest of increasing membership, an e-mail invitation for prospective members </w:t>
            </w:r>
            <w:r w:rsidR="002047EB">
              <w:t>shall</w:t>
            </w:r>
            <w:r w:rsidRPr="00B34CE6">
              <w:t xml:space="preserve"> be sent </w:t>
            </w:r>
            <w:r w:rsidR="002047EB">
              <w:t xml:space="preserve">annually </w:t>
            </w:r>
            <w:r w:rsidRPr="00B34CE6">
              <w:t xml:space="preserve">to </w:t>
            </w:r>
            <w:r w:rsidR="00FB781A">
              <w:t xml:space="preserve">at least </w:t>
            </w:r>
            <w:r w:rsidRPr="00B34CE6">
              <w:t>the following job classifications</w:t>
            </w:r>
            <w:r w:rsidR="009379BD">
              <w:t xml:space="preserve"> within the State of Oregon</w:t>
            </w:r>
            <w:r w:rsidRPr="00B34CE6">
              <w:t>:</w:t>
            </w:r>
          </w:p>
          <w:p w14:paraId="29D518F4" w14:textId="2363944D" w:rsidR="00F860E3" w:rsidRDefault="00F860E3" w:rsidP="00BF7091">
            <w:pPr>
              <w:pStyle w:val="ListParagraph"/>
              <w:numPr>
                <w:ilvl w:val="0"/>
                <w:numId w:val="4"/>
              </w:numPr>
            </w:pPr>
            <w:r>
              <w:t>Compliance Specialist 1-7</w:t>
            </w:r>
          </w:p>
          <w:p w14:paraId="31E919E5" w14:textId="773AE7A2" w:rsidR="00BF7091" w:rsidRDefault="00BF7091" w:rsidP="00BF7091">
            <w:pPr>
              <w:pStyle w:val="ListParagraph"/>
              <w:numPr>
                <w:ilvl w:val="0"/>
                <w:numId w:val="4"/>
              </w:numPr>
            </w:pPr>
            <w:r w:rsidRPr="00B34CE6">
              <w:t>Economist 1-4</w:t>
            </w:r>
          </w:p>
          <w:p w14:paraId="569343DA" w14:textId="77777777" w:rsidR="00BF7091" w:rsidRDefault="00BF7091" w:rsidP="00BF7091">
            <w:pPr>
              <w:pStyle w:val="ListParagraph"/>
              <w:numPr>
                <w:ilvl w:val="0"/>
                <w:numId w:val="4"/>
              </w:numPr>
            </w:pPr>
            <w:r>
              <w:t>Education Specialist 1-2</w:t>
            </w:r>
          </w:p>
          <w:p w14:paraId="6A9EDDFB" w14:textId="77777777" w:rsidR="00BF7091" w:rsidRDefault="00BF7091" w:rsidP="00BF7091">
            <w:pPr>
              <w:pStyle w:val="ListParagraph"/>
              <w:numPr>
                <w:ilvl w:val="0"/>
                <w:numId w:val="4"/>
              </w:numPr>
            </w:pPr>
            <w:r w:rsidRPr="00B34CE6">
              <w:t>Epidemiologist 1-2</w:t>
            </w:r>
          </w:p>
          <w:p w14:paraId="6BB6D394" w14:textId="77777777" w:rsidR="00BF7091" w:rsidRPr="00B34CE6" w:rsidRDefault="00BF7091" w:rsidP="00BF7091">
            <w:pPr>
              <w:pStyle w:val="ListParagraph"/>
              <w:numPr>
                <w:ilvl w:val="0"/>
                <w:numId w:val="4"/>
              </w:numPr>
            </w:pPr>
            <w:r>
              <w:t>Fiscal Analyst 1-3</w:t>
            </w:r>
          </w:p>
          <w:p w14:paraId="5FDFB619" w14:textId="77777777" w:rsidR="00BF7091" w:rsidRDefault="00BF7091" w:rsidP="00BF7091">
            <w:pPr>
              <w:pStyle w:val="ListParagraph"/>
              <w:numPr>
                <w:ilvl w:val="0"/>
                <w:numId w:val="4"/>
              </w:numPr>
            </w:pPr>
            <w:r w:rsidRPr="00B34CE6">
              <w:t>Information Systems Specialist 1-8</w:t>
            </w:r>
          </w:p>
          <w:p w14:paraId="2459B520" w14:textId="48727B4E" w:rsidR="00EF6345" w:rsidRPr="00EF6345" w:rsidRDefault="00EF6345" w:rsidP="00BF7091">
            <w:pPr>
              <w:pStyle w:val="ListParagraph"/>
              <w:numPr>
                <w:ilvl w:val="0"/>
                <w:numId w:val="4"/>
              </w:numPr>
              <w:rPr>
                <w:color w:val="FF0000"/>
              </w:rPr>
            </w:pPr>
            <w:r w:rsidRPr="00C305A3">
              <w:t>Legislative</w:t>
            </w:r>
            <w:r w:rsidR="00F860E3">
              <w:t xml:space="preserve"> </w:t>
            </w:r>
            <w:r w:rsidRPr="00C305A3">
              <w:t xml:space="preserve">Analyst 1-4 </w:t>
            </w:r>
          </w:p>
          <w:p w14:paraId="20865083" w14:textId="77777777" w:rsidR="002047EB" w:rsidRPr="00B34CE6" w:rsidRDefault="002047EB" w:rsidP="002047EB">
            <w:pPr>
              <w:pStyle w:val="ListParagraph"/>
              <w:numPr>
                <w:ilvl w:val="0"/>
                <w:numId w:val="4"/>
              </w:numPr>
            </w:pPr>
            <w:r w:rsidRPr="00B34CE6">
              <w:t>Research Analyst 1-4</w:t>
            </w:r>
            <w:r>
              <w:t xml:space="preserve">              </w:t>
            </w:r>
          </w:p>
          <w:p w14:paraId="5BCB7ACB" w14:textId="77777777" w:rsidR="002047EB" w:rsidRDefault="002047EB" w:rsidP="002047EB">
            <w:pPr>
              <w:pStyle w:val="ListParagraph"/>
              <w:numPr>
                <w:ilvl w:val="0"/>
                <w:numId w:val="4"/>
              </w:numPr>
            </w:pPr>
            <w:r w:rsidRPr="00B34CE6">
              <w:t>Operations and Policy Analyst 1-4</w:t>
            </w:r>
          </w:p>
          <w:p w14:paraId="2832A958" w14:textId="6AF14383" w:rsidR="00BF7091" w:rsidRPr="00B34CE6" w:rsidRDefault="00BF7091" w:rsidP="002047EB">
            <w:pPr>
              <w:pStyle w:val="ListParagraph"/>
              <w:numPr>
                <w:ilvl w:val="0"/>
                <w:numId w:val="4"/>
              </w:numPr>
            </w:pPr>
            <w:r>
              <w:t>Principal Executive</w:t>
            </w:r>
            <w:r w:rsidR="009379BD">
              <w:t xml:space="preserve"> </w:t>
            </w:r>
            <w:r>
              <w:t>Manager A-J who manage the classifications listed in this section</w:t>
            </w:r>
          </w:p>
          <w:p w14:paraId="3A976884" w14:textId="77777777" w:rsidR="002047EB" w:rsidRDefault="002047EB" w:rsidP="002047EB">
            <w:pPr>
              <w:pStyle w:val="ListParagraph"/>
              <w:numPr>
                <w:ilvl w:val="0"/>
                <w:numId w:val="4"/>
              </w:numPr>
            </w:pPr>
            <w:r>
              <w:t>Program Analyst</w:t>
            </w:r>
            <w:r w:rsidR="0053476D">
              <w:t xml:space="preserve"> 1-4</w:t>
            </w:r>
          </w:p>
          <w:p w14:paraId="08C33630" w14:textId="77777777" w:rsidR="009379BD" w:rsidRDefault="002047EB" w:rsidP="00153BC7">
            <w:pPr>
              <w:pStyle w:val="ListParagraph"/>
              <w:numPr>
                <w:ilvl w:val="0"/>
                <w:numId w:val="4"/>
              </w:numPr>
            </w:pPr>
            <w:r>
              <w:t>Project Manager</w:t>
            </w:r>
            <w:r w:rsidR="00153BC7">
              <w:t xml:space="preserve"> </w:t>
            </w:r>
            <w:r w:rsidR="0053476D">
              <w:t>1-3</w:t>
            </w:r>
          </w:p>
          <w:p w14:paraId="5D9157BC" w14:textId="44B7F32C" w:rsidR="00153BC7" w:rsidRPr="00B34CE6" w:rsidRDefault="009379BD" w:rsidP="003A7A0B">
            <w:r>
              <w:t>SORA may also solicit membership from other government, quasi government, and public colleges in Oregon.</w:t>
            </w:r>
          </w:p>
        </w:tc>
      </w:tr>
    </w:tbl>
    <w:p w14:paraId="3D46CC9C" w14:textId="77777777" w:rsidR="002047EB" w:rsidRDefault="002047EB" w:rsidP="008B7AD3">
      <w:pPr>
        <w:rPr>
          <w:rFonts w:asciiTheme="majorHAnsi" w:hAnsiTheme="majorHAnsi"/>
          <w:b/>
        </w:rPr>
        <w:sectPr w:rsidR="002047EB" w:rsidSect="002047EB">
          <w:type w:val="continuous"/>
          <w:pgSz w:w="12240" w:h="15840"/>
          <w:pgMar w:top="1440" w:right="1440" w:bottom="1440" w:left="1440" w:header="720" w:footer="720" w:gutter="0"/>
          <w:cols w:space="720"/>
          <w:docGrid w:linePitch="360"/>
        </w:sectPr>
      </w:pPr>
    </w:p>
    <w:tbl>
      <w:tblPr>
        <w:tblStyle w:val="TableGrid"/>
        <w:tblW w:w="0" w:type="auto"/>
        <w:tblCellMar>
          <w:top w:w="72" w:type="dxa"/>
          <w:left w:w="115" w:type="dxa"/>
          <w:bottom w:w="115" w:type="dxa"/>
          <w:right w:w="115" w:type="dxa"/>
        </w:tblCellMar>
        <w:tblLook w:val="04A0" w:firstRow="1" w:lastRow="0" w:firstColumn="1" w:lastColumn="0" w:noHBand="0" w:noVBand="1"/>
      </w:tblPr>
      <w:tblGrid>
        <w:gridCol w:w="2250"/>
        <w:gridCol w:w="7100"/>
      </w:tblGrid>
      <w:tr w:rsidR="00091B63" w:rsidRPr="00B34CE6" w14:paraId="1160FD7D" w14:textId="77777777" w:rsidTr="00317C25">
        <w:trPr>
          <w:cantSplit/>
        </w:trPr>
        <w:tc>
          <w:tcPr>
            <w:tcW w:w="2250" w:type="dxa"/>
            <w:shd w:val="clear" w:color="auto" w:fill="DAEEF3" w:themeFill="accent5" w:themeFillTint="33"/>
          </w:tcPr>
          <w:p w14:paraId="602463B2" w14:textId="77777777" w:rsidR="00091B63" w:rsidRPr="00B34CE6" w:rsidRDefault="00091B63" w:rsidP="008B7AD3">
            <w:pPr>
              <w:rPr>
                <w:rFonts w:asciiTheme="majorHAnsi" w:hAnsiTheme="majorHAnsi"/>
                <w:b/>
              </w:rPr>
            </w:pPr>
            <w:r w:rsidRPr="00B34CE6">
              <w:rPr>
                <w:rFonts w:asciiTheme="majorHAnsi" w:hAnsiTheme="majorHAnsi"/>
                <w:b/>
              </w:rPr>
              <w:t>Dues</w:t>
            </w:r>
            <w:r w:rsidR="006504D2">
              <w:rPr>
                <w:rFonts w:asciiTheme="majorHAnsi" w:hAnsiTheme="majorHAnsi"/>
                <w:b/>
              </w:rPr>
              <w:t xml:space="preserve"> and Accounts</w:t>
            </w:r>
          </w:p>
        </w:tc>
        <w:tc>
          <w:tcPr>
            <w:tcW w:w="7100" w:type="dxa"/>
          </w:tcPr>
          <w:p w14:paraId="6F119A7F" w14:textId="77777777" w:rsidR="00091B63" w:rsidRPr="00B34CE6" w:rsidRDefault="00091B63" w:rsidP="006504D2">
            <w:r w:rsidRPr="00B34CE6">
              <w:t>No dues will be charged to members of the State of Oregon Research Academy, nor will there be fees associated with SORA events.</w:t>
            </w:r>
            <w:r w:rsidR="002047EB">
              <w:t xml:space="preserve"> </w:t>
            </w:r>
            <w:r w:rsidR="006504D2">
              <w:t>SORA does not hold any funds or maintain any accounts.</w:t>
            </w:r>
          </w:p>
        </w:tc>
      </w:tr>
      <w:tr w:rsidR="005A4417" w:rsidRPr="00B34CE6" w14:paraId="5326A9B5" w14:textId="77777777" w:rsidTr="00317C25">
        <w:trPr>
          <w:cantSplit/>
        </w:trPr>
        <w:tc>
          <w:tcPr>
            <w:tcW w:w="2250" w:type="dxa"/>
            <w:shd w:val="clear" w:color="auto" w:fill="DAEEF3" w:themeFill="accent5" w:themeFillTint="33"/>
          </w:tcPr>
          <w:p w14:paraId="50E967EB" w14:textId="77777777" w:rsidR="005A4417" w:rsidRPr="00B34CE6" w:rsidRDefault="005A4417" w:rsidP="00DA5FB7">
            <w:pPr>
              <w:rPr>
                <w:rFonts w:asciiTheme="majorHAnsi" w:hAnsiTheme="majorHAnsi"/>
                <w:b/>
              </w:rPr>
            </w:pPr>
            <w:r w:rsidRPr="00B34CE6">
              <w:rPr>
                <w:rFonts w:asciiTheme="majorHAnsi" w:hAnsiTheme="majorHAnsi"/>
                <w:b/>
              </w:rPr>
              <w:t>Amendment of Charter and Bylaws</w:t>
            </w:r>
          </w:p>
        </w:tc>
        <w:tc>
          <w:tcPr>
            <w:tcW w:w="7100" w:type="dxa"/>
          </w:tcPr>
          <w:p w14:paraId="25449577" w14:textId="1BC1D6CF" w:rsidR="005A4417" w:rsidRDefault="005A4417" w:rsidP="00701AD7">
            <w:r w:rsidRPr="008B7AD3">
              <w:t xml:space="preserve">All proposed amendments to these </w:t>
            </w:r>
            <w:r>
              <w:t>bylaws will be approved by the Executive C</w:t>
            </w:r>
            <w:r w:rsidRPr="008B7AD3">
              <w:t xml:space="preserve">ommittee through a two-thirds </w:t>
            </w:r>
            <w:r>
              <w:t>majority vote of the entire Executive C</w:t>
            </w:r>
            <w:r w:rsidRPr="008B7AD3">
              <w:t>ommittee membership</w:t>
            </w:r>
            <w:r w:rsidRPr="00B34CE6">
              <w:t>.</w:t>
            </w:r>
            <w:r w:rsidR="00181ED7">
              <w:t xml:space="preserve"> </w:t>
            </w:r>
            <w:r>
              <w:t>The Executive Committee will review the charter annually.</w:t>
            </w:r>
          </w:p>
        </w:tc>
      </w:tr>
    </w:tbl>
    <w:p w14:paraId="745C85F3" w14:textId="77777777" w:rsidR="003D0C75" w:rsidRDefault="003D0C75">
      <w:r>
        <w:br w:type="page"/>
      </w:r>
    </w:p>
    <w:tbl>
      <w:tblPr>
        <w:tblStyle w:val="TableGrid"/>
        <w:tblW w:w="0" w:type="auto"/>
        <w:tblCellMar>
          <w:top w:w="72" w:type="dxa"/>
          <w:left w:w="115" w:type="dxa"/>
          <w:bottom w:w="115" w:type="dxa"/>
          <w:right w:w="115" w:type="dxa"/>
        </w:tblCellMar>
        <w:tblLook w:val="04A0" w:firstRow="1" w:lastRow="0" w:firstColumn="1" w:lastColumn="0" w:noHBand="0" w:noVBand="1"/>
      </w:tblPr>
      <w:tblGrid>
        <w:gridCol w:w="2250"/>
        <w:gridCol w:w="7100"/>
      </w:tblGrid>
      <w:tr w:rsidR="005A4417" w:rsidRPr="00B34CE6" w14:paraId="51856CFD" w14:textId="77777777" w:rsidTr="00317C25">
        <w:trPr>
          <w:cantSplit/>
        </w:trPr>
        <w:tc>
          <w:tcPr>
            <w:tcW w:w="9350" w:type="dxa"/>
            <w:gridSpan w:val="2"/>
            <w:shd w:val="clear" w:color="auto" w:fill="DAEEF3" w:themeFill="accent5" w:themeFillTint="33"/>
            <w:vAlign w:val="bottom"/>
          </w:tcPr>
          <w:p w14:paraId="0D49566E" w14:textId="668AC2B5" w:rsidR="005A4417" w:rsidRPr="00B34CE6" w:rsidRDefault="005A4417" w:rsidP="00362617">
            <w:pPr>
              <w:spacing w:before="120" w:after="120"/>
              <w:jc w:val="center"/>
              <w:rPr>
                <w:rFonts w:asciiTheme="majorHAnsi" w:hAnsiTheme="majorHAnsi"/>
                <w:b/>
                <w:sz w:val="28"/>
                <w:szCs w:val="28"/>
              </w:rPr>
            </w:pPr>
            <w:r w:rsidRPr="00B34CE6">
              <w:rPr>
                <w:rFonts w:asciiTheme="majorHAnsi" w:hAnsiTheme="majorHAnsi"/>
                <w:b/>
                <w:sz w:val="28"/>
                <w:szCs w:val="28"/>
              </w:rPr>
              <w:lastRenderedPageBreak/>
              <w:t>Executive Committee</w:t>
            </w:r>
          </w:p>
        </w:tc>
      </w:tr>
      <w:tr w:rsidR="005A4417" w:rsidRPr="00B34CE6" w14:paraId="1B85AAED" w14:textId="77777777" w:rsidTr="00317C25">
        <w:trPr>
          <w:cantSplit/>
        </w:trPr>
        <w:tc>
          <w:tcPr>
            <w:tcW w:w="2250" w:type="dxa"/>
            <w:shd w:val="clear" w:color="auto" w:fill="DAEEF3" w:themeFill="accent5" w:themeFillTint="33"/>
          </w:tcPr>
          <w:p w14:paraId="06B2F424" w14:textId="77777777" w:rsidR="005A4417" w:rsidRPr="00B34CE6" w:rsidRDefault="005A4417" w:rsidP="008B7AD3">
            <w:pPr>
              <w:rPr>
                <w:rFonts w:asciiTheme="majorHAnsi" w:hAnsiTheme="majorHAnsi"/>
                <w:b/>
              </w:rPr>
            </w:pPr>
            <w:r w:rsidRPr="00B34CE6">
              <w:rPr>
                <w:rFonts w:asciiTheme="majorHAnsi" w:hAnsiTheme="majorHAnsi"/>
                <w:b/>
              </w:rPr>
              <w:t>Executive Committee Composition</w:t>
            </w:r>
          </w:p>
        </w:tc>
        <w:tc>
          <w:tcPr>
            <w:tcW w:w="7100" w:type="dxa"/>
          </w:tcPr>
          <w:p w14:paraId="1A4CAE78" w14:textId="77777777" w:rsidR="005A4417" w:rsidRPr="00B34CE6" w:rsidRDefault="005A4417" w:rsidP="008B7AD3">
            <w:r w:rsidRPr="00B34CE6">
              <w:t>The St</w:t>
            </w:r>
            <w:r>
              <w:t>ate of Oregon Research Academy E</w:t>
            </w:r>
            <w:r w:rsidRPr="00B34CE6">
              <w:t xml:space="preserve">xecutive </w:t>
            </w:r>
            <w:r>
              <w:t>C</w:t>
            </w:r>
            <w:r w:rsidRPr="00B34CE6">
              <w:t>ommittee will consist of at least three members.</w:t>
            </w:r>
            <w:r w:rsidR="002047EB">
              <w:t xml:space="preserve"> </w:t>
            </w:r>
            <w:r w:rsidRPr="00B34CE6">
              <w:t>Efforts will be made to obtain a diverse represe</w:t>
            </w:r>
            <w:r>
              <w:t>ntation of SORA members on the E</w:t>
            </w:r>
            <w:r w:rsidRPr="00B34CE6">
              <w:t xml:space="preserve">xecutive </w:t>
            </w:r>
            <w:r>
              <w:t>C</w:t>
            </w:r>
            <w:r w:rsidRPr="00B34CE6">
              <w:t>ommittee.</w:t>
            </w:r>
            <w:r w:rsidR="002047EB">
              <w:t xml:space="preserve"> </w:t>
            </w:r>
          </w:p>
          <w:p w14:paraId="0ACDFD93" w14:textId="7E7015CD" w:rsidR="005A4417" w:rsidRPr="00B34CE6" w:rsidRDefault="00526ADE" w:rsidP="00701AD7">
            <w:r>
              <w:t>Each</w:t>
            </w:r>
            <w:r w:rsidR="005A4417" w:rsidRPr="008B7AD3">
              <w:t xml:space="preserve"> member </w:t>
            </w:r>
            <w:r>
              <w:t xml:space="preserve">of the Executive Committee </w:t>
            </w:r>
            <w:r w:rsidR="005A4417" w:rsidRPr="008B7AD3">
              <w:t>will serve a</w:t>
            </w:r>
            <w:r w:rsidR="00F860E3">
              <w:t xml:space="preserve">n annual term until the next election. </w:t>
            </w:r>
          </w:p>
        </w:tc>
      </w:tr>
      <w:tr w:rsidR="005A4417" w:rsidRPr="00B34CE6" w14:paraId="558470B2" w14:textId="77777777" w:rsidTr="00317C25">
        <w:trPr>
          <w:cantSplit/>
        </w:trPr>
        <w:tc>
          <w:tcPr>
            <w:tcW w:w="2250" w:type="dxa"/>
            <w:shd w:val="clear" w:color="auto" w:fill="DAEEF3" w:themeFill="accent5" w:themeFillTint="33"/>
          </w:tcPr>
          <w:p w14:paraId="71FAF440" w14:textId="77777777" w:rsidR="005A4417" w:rsidRPr="00B34CE6" w:rsidRDefault="005A4417" w:rsidP="008B7AD3">
            <w:pPr>
              <w:rPr>
                <w:rFonts w:asciiTheme="majorHAnsi" w:hAnsiTheme="majorHAnsi"/>
                <w:b/>
              </w:rPr>
            </w:pPr>
            <w:r>
              <w:rPr>
                <w:rFonts w:asciiTheme="majorHAnsi" w:hAnsiTheme="majorHAnsi"/>
                <w:b/>
              </w:rPr>
              <w:t>Executive Committee Leadership</w:t>
            </w:r>
          </w:p>
        </w:tc>
        <w:tc>
          <w:tcPr>
            <w:tcW w:w="7100" w:type="dxa"/>
          </w:tcPr>
          <w:p w14:paraId="43793742" w14:textId="77777777" w:rsidR="005A4417" w:rsidRPr="00B34CE6" w:rsidRDefault="005A4417" w:rsidP="008B7AD3">
            <w:r w:rsidRPr="00B34CE6">
              <w:t xml:space="preserve">The </w:t>
            </w:r>
            <w:r>
              <w:t>E</w:t>
            </w:r>
            <w:r w:rsidRPr="00B34CE6">
              <w:t xml:space="preserve">xecutive </w:t>
            </w:r>
            <w:r>
              <w:t>C</w:t>
            </w:r>
            <w:r w:rsidRPr="00B34CE6">
              <w:t>ommittee will include the following leadership positions:</w:t>
            </w:r>
          </w:p>
          <w:p w14:paraId="5D79D2DB" w14:textId="5607713D" w:rsidR="00F860E3" w:rsidRPr="00F860E3" w:rsidRDefault="005A4417" w:rsidP="003A7A0B">
            <w:pPr>
              <w:pStyle w:val="ListParagraph"/>
              <w:numPr>
                <w:ilvl w:val="0"/>
                <w:numId w:val="2"/>
              </w:numPr>
            </w:pPr>
            <w:r w:rsidRPr="00B34CE6">
              <w:rPr>
                <w:b/>
              </w:rPr>
              <w:t>Chair</w:t>
            </w:r>
            <w:r w:rsidRPr="00B34CE6">
              <w:t xml:space="preserve"> – </w:t>
            </w:r>
            <w:r w:rsidR="00FA50C7">
              <w:t>The Chair l</w:t>
            </w:r>
            <w:r w:rsidRPr="00B34CE6">
              <w:t>ead</w:t>
            </w:r>
            <w:r w:rsidR="0000173A">
              <w:t>s</w:t>
            </w:r>
            <w:r w:rsidRPr="00B34CE6">
              <w:t xml:space="preserve"> the </w:t>
            </w:r>
            <w:r>
              <w:t>E</w:t>
            </w:r>
            <w:r w:rsidRPr="00B34CE6">
              <w:t xml:space="preserve">xecutive </w:t>
            </w:r>
            <w:r>
              <w:t>C</w:t>
            </w:r>
            <w:r w:rsidRPr="00B34CE6">
              <w:t>ommittee, facilitate</w:t>
            </w:r>
            <w:r w:rsidR="0000173A">
              <w:t>s</w:t>
            </w:r>
            <w:r w:rsidRPr="00B34CE6">
              <w:t xml:space="preserve"> </w:t>
            </w:r>
            <w:r>
              <w:t>E</w:t>
            </w:r>
            <w:r w:rsidRPr="00B34CE6">
              <w:t xml:space="preserve">xecutive </w:t>
            </w:r>
            <w:r>
              <w:t>C</w:t>
            </w:r>
            <w:r w:rsidRPr="00B34CE6">
              <w:t>ommittee meetings, and oversee operations</w:t>
            </w:r>
            <w:r w:rsidR="00BF7091">
              <w:t>.</w:t>
            </w:r>
            <w:r w:rsidR="006473AB">
              <w:t xml:space="preserve">  It is suggested that the Chair does not serve consecutive terms.</w:t>
            </w:r>
          </w:p>
          <w:p w14:paraId="511094F2" w14:textId="52E9A372" w:rsidR="005A4417" w:rsidRPr="00B34CE6" w:rsidRDefault="005A4417" w:rsidP="008B7AD3">
            <w:pPr>
              <w:pStyle w:val="ListParagraph"/>
              <w:numPr>
                <w:ilvl w:val="0"/>
                <w:numId w:val="2"/>
              </w:numPr>
            </w:pPr>
            <w:r w:rsidRPr="00B34CE6">
              <w:rPr>
                <w:b/>
              </w:rPr>
              <w:t>Vice</w:t>
            </w:r>
            <w:r w:rsidR="00FA50C7">
              <w:rPr>
                <w:b/>
              </w:rPr>
              <w:t xml:space="preserve"> </w:t>
            </w:r>
            <w:r w:rsidRPr="00B34CE6">
              <w:rPr>
                <w:b/>
              </w:rPr>
              <w:t>Chair</w:t>
            </w:r>
            <w:r w:rsidRPr="00B34CE6">
              <w:t xml:space="preserve"> – </w:t>
            </w:r>
            <w:r w:rsidR="00FA50C7">
              <w:t>The Vice Chair a</w:t>
            </w:r>
            <w:r w:rsidR="00FA50C7" w:rsidRPr="00B34CE6">
              <w:t>ssist</w:t>
            </w:r>
            <w:r w:rsidR="00FA50C7">
              <w:t>s</w:t>
            </w:r>
            <w:r w:rsidR="00FA50C7" w:rsidRPr="00B34CE6">
              <w:t xml:space="preserve"> </w:t>
            </w:r>
            <w:r w:rsidRPr="00B34CE6">
              <w:t xml:space="preserve">the </w:t>
            </w:r>
            <w:r w:rsidR="00FA50C7">
              <w:t>C</w:t>
            </w:r>
            <w:r w:rsidR="00FA50C7" w:rsidRPr="00B34CE6">
              <w:t>hair</w:t>
            </w:r>
            <w:r w:rsidR="00FA50C7">
              <w:t xml:space="preserve"> in performing the latter’s duties and responsibilities. The Vice Chair also </w:t>
            </w:r>
            <w:r>
              <w:t>provide</w:t>
            </w:r>
            <w:r w:rsidR="0000173A">
              <w:t>s</w:t>
            </w:r>
            <w:r>
              <w:t xml:space="preserve"> back-up support for leadership </w:t>
            </w:r>
            <w:r w:rsidR="00FA50C7">
              <w:t xml:space="preserve">roles </w:t>
            </w:r>
            <w:r>
              <w:t>as needed</w:t>
            </w:r>
            <w:r w:rsidR="00BF7091">
              <w:t>.</w:t>
            </w:r>
            <w:r w:rsidR="006473AB">
              <w:t xml:space="preserve">  </w:t>
            </w:r>
          </w:p>
          <w:p w14:paraId="042EE368" w14:textId="5BAE2C7A" w:rsidR="005A4417" w:rsidRDefault="005A4417" w:rsidP="008B7AD3">
            <w:pPr>
              <w:pStyle w:val="ListParagraph"/>
              <w:numPr>
                <w:ilvl w:val="0"/>
                <w:numId w:val="2"/>
              </w:numPr>
            </w:pPr>
            <w:r w:rsidRPr="00B34CE6">
              <w:rPr>
                <w:b/>
              </w:rPr>
              <w:t xml:space="preserve">Secretary </w:t>
            </w:r>
            <w:r w:rsidRPr="00B34CE6">
              <w:t xml:space="preserve">– </w:t>
            </w:r>
            <w:r w:rsidR="00FA50C7">
              <w:t>The Secretary k</w:t>
            </w:r>
            <w:r w:rsidR="00FA50C7" w:rsidRPr="00B34CE6">
              <w:t>eep</w:t>
            </w:r>
            <w:r w:rsidR="00FA50C7">
              <w:t>s</w:t>
            </w:r>
            <w:r w:rsidR="00FA50C7" w:rsidRPr="00B34CE6">
              <w:t xml:space="preserve"> </w:t>
            </w:r>
            <w:r w:rsidRPr="00B34CE6">
              <w:t>record of committee actions and decisions</w:t>
            </w:r>
            <w:r w:rsidR="0000173A">
              <w:t xml:space="preserve">, schedules </w:t>
            </w:r>
            <w:r w:rsidR="00526ADE">
              <w:t xml:space="preserve">Executive Committee </w:t>
            </w:r>
            <w:r>
              <w:t>meetings and room reservations</w:t>
            </w:r>
            <w:r w:rsidR="0053476D">
              <w:t xml:space="preserve">, </w:t>
            </w:r>
            <w:r w:rsidR="00BF7091">
              <w:t xml:space="preserve">and </w:t>
            </w:r>
            <w:r w:rsidR="0053476D">
              <w:t>track</w:t>
            </w:r>
            <w:r w:rsidR="0000173A">
              <w:t>s</w:t>
            </w:r>
            <w:r w:rsidR="002047EB">
              <w:t xml:space="preserve"> attendance at events.</w:t>
            </w:r>
          </w:p>
          <w:p w14:paraId="15D6B7F1" w14:textId="43ED1DA3" w:rsidR="005A4417" w:rsidRPr="007A5B5C" w:rsidRDefault="005A4417" w:rsidP="008B7AD3">
            <w:pPr>
              <w:pStyle w:val="ListParagraph"/>
              <w:numPr>
                <w:ilvl w:val="0"/>
                <w:numId w:val="2"/>
              </w:numPr>
            </w:pPr>
            <w:r w:rsidRPr="007A5B5C">
              <w:rPr>
                <w:b/>
              </w:rPr>
              <w:t xml:space="preserve">Communications Coordinator </w:t>
            </w:r>
            <w:r w:rsidRPr="007A5B5C">
              <w:t>–</w:t>
            </w:r>
            <w:r w:rsidR="00801965" w:rsidRPr="007A5B5C">
              <w:t xml:space="preserve"> </w:t>
            </w:r>
            <w:r w:rsidR="00FA50C7">
              <w:t>The Communications Coordinator m</w:t>
            </w:r>
            <w:r w:rsidR="00FA50C7" w:rsidRPr="007A5B5C">
              <w:t xml:space="preserve">anages </w:t>
            </w:r>
            <w:r w:rsidR="00801965" w:rsidRPr="007A5B5C">
              <w:t>the design, content and production of written communications with SORA members and the public.</w:t>
            </w:r>
          </w:p>
          <w:p w14:paraId="695B6400" w14:textId="1A13A922" w:rsidR="005A4417" w:rsidRPr="007A5B5C" w:rsidRDefault="005A4417" w:rsidP="001D041C">
            <w:pPr>
              <w:pStyle w:val="ListParagraph"/>
              <w:numPr>
                <w:ilvl w:val="0"/>
                <w:numId w:val="2"/>
              </w:numPr>
            </w:pPr>
            <w:r w:rsidRPr="007A5B5C">
              <w:rPr>
                <w:b/>
              </w:rPr>
              <w:t xml:space="preserve">Volunteer Coordinator </w:t>
            </w:r>
            <w:r w:rsidRPr="007A5B5C">
              <w:t xml:space="preserve">– </w:t>
            </w:r>
            <w:r w:rsidR="00FA50C7">
              <w:t>The Volunteer Coordinator s</w:t>
            </w:r>
            <w:r w:rsidR="00FA50C7" w:rsidRPr="007A5B5C">
              <w:t xml:space="preserve">olicits </w:t>
            </w:r>
            <w:r w:rsidRPr="007A5B5C">
              <w:t>interest and maintain</w:t>
            </w:r>
            <w:r w:rsidR="00553D07" w:rsidRPr="007A5B5C">
              <w:t>s</w:t>
            </w:r>
            <w:r w:rsidRPr="007A5B5C">
              <w:t xml:space="preserve"> a list of SORA members who are willing to </w:t>
            </w:r>
            <w:r w:rsidR="00072DCF" w:rsidRPr="007A5B5C">
              <w:t xml:space="preserve">volunteer for activities and </w:t>
            </w:r>
            <w:r w:rsidRPr="007A5B5C">
              <w:t>help with projects</w:t>
            </w:r>
            <w:r w:rsidR="00BF7091" w:rsidRPr="007A5B5C">
              <w:t>.</w:t>
            </w:r>
          </w:p>
          <w:p w14:paraId="721850D4" w14:textId="7F4C4953" w:rsidR="005A4417" w:rsidRDefault="005A4417" w:rsidP="001D041C">
            <w:pPr>
              <w:pStyle w:val="ListParagraph"/>
              <w:numPr>
                <w:ilvl w:val="0"/>
                <w:numId w:val="2"/>
              </w:numPr>
            </w:pPr>
            <w:r w:rsidRPr="007A5B5C">
              <w:rPr>
                <w:b/>
              </w:rPr>
              <w:t>Workforce Development Coordinator</w:t>
            </w:r>
            <w:r w:rsidRPr="007A5B5C">
              <w:t xml:space="preserve"> – </w:t>
            </w:r>
            <w:r w:rsidR="00FA50C7">
              <w:t>The Workforce Development Coordinator c</w:t>
            </w:r>
            <w:r w:rsidR="00072DCF" w:rsidRPr="007A5B5C">
              <w:t>oordinates special programs and other activities related to workforce development</w:t>
            </w:r>
            <w:r w:rsidR="00BF7091">
              <w:t>.</w:t>
            </w:r>
          </w:p>
          <w:p w14:paraId="29E1C662" w14:textId="76D0A9A5" w:rsidR="002047EB" w:rsidRPr="00B34CE6" w:rsidRDefault="00801965">
            <w:pPr>
              <w:pStyle w:val="ListParagraph"/>
              <w:numPr>
                <w:ilvl w:val="0"/>
                <w:numId w:val="2"/>
              </w:numPr>
            </w:pPr>
            <w:r>
              <w:rPr>
                <w:b/>
              </w:rPr>
              <w:t>Web C</w:t>
            </w:r>
            <w:r w:rsidR="0000173A" w:rsidRPr="0000173A">
              <w:rPr>
                <w:b/>
              </w:rPr>
              <w:t>oordinator</w:t>
            </w:r>
            <w:r w:rsidR="002047EB" w:rsidRPr="0000173A">
              <w:t xml:space="preserve"> – </w:t>
            </w:r>
            <w:r w:rsidR="00FA50C7">
              <w:t>The Web Coordinator b</w:t>
            </w:r>
            <w:r w:rsidR="002047EB" w:rsidRPr="0000173A">
              <w:t>uild</w:t>
            </w:r>
            <w:r w:rsidR="0000173A">
              <w:t>s</w:t>
            </w:r>
            <w:r w:rsidR="002047EB" w:rsidRPr="0000173A">
              <w:t xml:space="preserve"> and maintain</w:t>
            </w:r>
            <w:r w:rsidR="0000173A">
              <w:t>s</w:t>
            </w:r>
            <w:r w:rsidR="002047EB" w:rsidRPr="0000173A">
              <w:t xml:space="preserve"> SORA</w:t>
            </w:r>
            <w:r w:rsidR="0000173A" w:rsidRPr="0000173A">
              <w:t>’s</w:t>
            </w:r>
            <w:r w:rsidR="002047EB" w:rsidRPr="0000173A">
              <w:t xml:space="preserve"> website</w:t>
            </w:r>
            <w:r w:rsidR="0000173A" w:rsidRPr="0000173A">
              <w:t>, Oregon</w:t>
            </w:r>
            <w:r w:rsidR="00E01601">
              <w:t>R</w:t>
            </w:r>
            <w:r w:rsidR="0000173A" w:rsidRPr="0000173A">
              <w:t>esearch.org</w:t>
            </w:r>
            <w:r w:rsidR="0000173A">
              <w:t>, including new posts and event updates</w:t>
            </w:r>
            <w:r w:rsidR="002047EB" w:rsidRPr="0000173A">
              <w:t>.</w:t>
            </w:r>
          </w:p>
        </w:tc>
      </w:tr>
      <w:tr w:rsidR="005A4417" w:rsidRPr="00B34CE6" w14:paraId="279C91BE" w14:textId="77777777" w:rsidTr="00317C25">
        <w:trPr>
          <w:cantSplit/>
        </w:trPr>
        <w:tc>
          <w:tcPr>
            <w:tcW w:w="2250" w:type="dxa"/>
            <w:shd w:val="clear" w:color="auto" w:fill="DAEEF3" w:themeFill="accent5" w:themeFillTint="33"/>
          </w:tcPr>
          <w:p w14:paraId="54E4475C" w14:textId="3E0921EB" w:rsidR="005A4417" w:rsidRPr="00B34CE6" w:rsidRDefault="00350B69" w:rsidP="008B7AD3">
            <w:pPr>
              <w:rPr>
                <w:rFonts w:asciiTheme="majorHAnsi" w:hAnsiTheme="majorHAnsi"/>
                <w:b/>
              </w:rPr>
            </w:pPr>
            <w:r>
              <w:rPr>
                <w:rFonts w:asciiTheme="majorHAnsi" w:hAnsiTheme="majorHAnsi"/>
                <w:b/>
              </w:rPr>
              <w:t>Recruitment of Executive Committee Members</w:t>
            </w:r>
          </w:p>
        </w:tc>
        <w:tc>
          <w:tcPr>
            <w:tcW w:w="7100" w:type="dxa"/>
            <w:shd w:val="clear" w:color="auto" w:fill="auto"/>
          </w:tcPr>
          <w:p w14:paraId="1462A690" w14:textId="6D09BA31" w:rsidR="005A4417" w:rsidRPr="00B34CE6" w:rsidRDefault="00350B69">
            <w:r>
              <w:t>Recruitment of Executive Committee members and the filling of v</w:t>
            </w:r>
            <w:r w:rsidR="005A4417" w:rsidRPr="008B7AD3">
              <w:t xml:space="preserve">acancies </w:t>
            </w:r>
            <w:r>
              <w:t>may</w:t>
            </w:r>
            <w:r w:rsidR="005A4417" w:rsidRPr="008B7AD3">
              <w:t xml:space="preserve"> be </w:t>
            </w:r>
            <w:r>
              <w:t>achieved</w:t>
            </w:r>
            <w:r w:rsidR="005A4417" w:rsidRPr="008B7AD3">
              <w:t xml:space="preserve"> by soliciting volunteers in the current SORA membership</w:t>
            </w:r>
            <w:r w:rsidR="005A4417">
              <w:t>.</w:t>
            </w:r>
            <w:r w:rsidR="002047EB">
              <w:t xml:space="preserve"> </w:t>
            </w:r>
            <w:r w:rsidR="005A4417">
              <w:t>SORA members may be nominated, or self-nominated, t</w:t>
            </w:r>
            <w:r w:rsidR="0053476D">
              <w:t xml:space="preserve">o join the Executive Committee, </w:t>
            </w:r>
            <w:r w:rsidR="005A4417">
              <w:t>and elected to join through a</w:t>
            </w:r>
            <w:r>
              <w:t xml:space="preserve"> </w:t>
            </w:r>
            <w:r w:rsidR="005A4417">
              <w:t>vote.</w:t>
            </w:r>
          </w:p>
        </w:tc>
      </w:tr>
      <w:tr w:rsidR="003D0C75" w:rsidRPr="00B34CE6" w14:paraId="606B126F" w14:textId="77777777" w:rsidTr="003D0C75">
        <w:trPr>
          <w:cantSplit/>
        </w:trPr>
        <w:tc>
          <w:tcPr>
            <w:tcW w:w="2250" w:type="dxa"/>
            <w:shd w:val="clear" w:color="auto" w:fill="DAEEF3" w:themeFill="accent5" w:themeFillTint="33"/>
          </w:tcPr>
          <w:p w14:paraId="701DCD2E" w14:textId="72C82564" w:rsidR="003D0C75" w:rsidRDefault="003D0C75" w:rsidP="008B7AD3">
            <w:pPr>
              <w:rPr>
                <w:rFonts w:asciiTheme="majorHAnsi" w:hAnsiTheme="majorHAnsi"/>
                <w:b/>
              </w:rPr>
            </w:pPr>
            <w:r>
              <w:rPr>
                <w:rFonts w:asciiTheme="majorHAnsi" w:hAnsiTheme="majorHAnsi"/>
                <w:b/>
              </w:rPr>
              <w:t>Recruitment of Executive Committee Leadership Roles</w:t>
            </w:r>
          </w:p>
        </w:tc>
        <w:tc>
          <w:tcPr>
            <w:tcW w:w="7100" w:type="dxa"/>
            <w:shd w:val="clear" w:color="auto" w:fill="auto"/>
          </w:tcPr>
          <w:p w14:paraId="425560B0" w14:textId="72C6A0CC" w:rsidR="003D0C75" w:rsidRDefault="003D0C75" w:rsidP="008B7AD3">
            <w:r>
              <w:t>Executive Committee l</w:t>
            </w:r>
            <w:r w:rsidRPr="008B7AD3">
              <w:t xml:space="preserve">eadership </w:t>
            </w:r>
            <w:r>
              <w:t>role</w:t>
            </w:r>
            <w:r w:rsidRPr="008B7AD3">
              <w:t>s shall be filled through a</w:t>
            </w:r>
            <w:r>
              <w:t>n</w:t>
            </w:r>
            <w:r w:rsidRPr="008B7AD3">
              <w:t xml:space="preserve"> </w:t>
            </w:r>
            <w:r>
              <w:t xml:space="preserve">open </w:t>
            </w:r>
            <w:r w:rsidRPr="008B7AD3">
              <w:t>nomination a</w:t>
            </w:r>
            <w:r>
              <w:t>nd</w:t>
            </w:r>
            <w:r w:rsidRPr="008B7AD3">
              <w:t xml:space="preserve"> vote</w:t>
            </w:r>
            <w:r>
              <w:t>. All Executive Committee members are eligible for Executive Committee leadership roles. Elections will be held annually at the first Executive Committee meeting of each calendar year and as needed to fill unanticipated vacancies.</w:t>
            </w:r>
          </w:p>
        </w:tc>
      </w:tr>
      <w:tr w:rsidR="005A4417" w:rsidRPr="00B34CE6" w14:paraId="73F01469" w14:textId="77777777" w:rsidTr="00317C25">
        <w:trPr>
          <w:cantSplit/>
        </w:trPr>
        <w:tc>
          <w:tcPr>
            <w:tcW w:w="2250" w:type="dxa"/>
            <w:shd w:val="clear" w:color="auto" w:fill="DAEEF3" w:themeFill="accent5" w:themeFillTint="33"/>
          </w:tcPr>
          <w:p w14:paraId="3C8FFF0A" w14:textId="77777777" w:rsidR="005A4417" w:rsidRPr="00B34CE6" w:rsidRDefault="005A4417" w:rsidP="008B7AD3">
            <w:pPr>
              <w:rPr>
                <w:rFonts w:asciiTheme="majorHAnsi" w:hAnsiTheme="majorHAnsi"/>
                <w:b/>
              </w:rPr>
            </w:pPr>
            <w:r w:rsidRPr="00B34CE6">
              <w:rPr>
                <w:rFonts w:asciiTheme="majorHAnsi" w:hAnsiTheme="majorHAnsi"/>
                <w:b/>
              </w:rPr>
              <w:t>Responsibilities of Executive Committee Members</w:t>
            </w:r>
          </w:p>
        </w:tc>
        <w:tc>
          <w:tcPr>
            <w:tcW w:w="7100" w:type="dxa"/>
          </w:tcPr>
          <w:p w14:paraId="4C5B3DFE" w14:textId="2938CD88" w:rsidR="003D0C75" w:rsidRDefault="005A4417" w:rsidP="008B7AD3">
            <w:r w:rsidRPr="00B34CE6">
              <w:t>E</w:t>
            </w:r>
            <w:r w:rsidR="0086292F">
              <w:t xml:space="preserve">xecutive </w:t>
            </w:r>
            <w:r w:rsidRPr="00B34CE6">
              <w:t>C</w:t>
            </w:r>
            <w:r w:rsidR="0086292F">
              <w:t>ommittee</w:t>
            </w:r>
            <w:r w:rsidRPr="00B34CE6">
              <w:t xml:space="preserve"> members are accountable to be present and part</w:t>
            </w:r>
            <w:r>
              <w:t>icipate in regularly scheduled E</w:t>
            </w:r>
            <w:r w:rsidRPr="00B34CE6">
              <w:t xml:space="preserve">xecutive </w:t>
            </w:r>
            <w:r>
              <w:t>C</w:t>
            </w:r>
            <w:r w:rsidRPr="00B34CE6">
              <w:t>ommittee meetings.</w:t>
            </w:r>
            <w:r w:rsidR="002047EB">
              <w:t xml:space="preserve"> </w:t>
            </w:r>
            <w:r w:rsidR="00526ADE">
              <w:t>Executive Committee</w:t>
            </w:r>
            <w:r w:rsidRPr="00B34CE6">
              <w:t xml:space="preserve"> members are expected to</w:t>
            </w:r>
            <w:r w:rsidR="00016CBB">
              <w:t xml:space="preserve"> submit their </w:t>
            </w:r>
            <w:r w:rsidRPr="00B34CE6">
              <w:t>resign</w:t>
            </w:r>
            <w:r w:rsidR="00016CBB">
              <w:t>ation</w:t>
            </w:r>
            <w:r w:rsidRPr="00B34CE6">
              <w:t xml:space="preserve"> if they are no longer able </w:t>
            </w:r>
            <w:r>
              <w:t xml:space="preserve">or willing </w:t>
            </w:r>
            <w:r w:rsidRPr="00B34CE6">
              <w:t>to participate in the governance of SORA.</w:t>
            </w:r>
            <w:r w:rsidR="003D0C75">
              <w:t xml:space="preserve">  </w:t>
            </w:r>
          </w:p>
          <w:p w14:paraId="7B37F460" w14:textId="77AB3917" w:rsidR="005A4417" w:rsidRDefault="00016CBB" w:rsidP="008B7AD3">
            <w:r>
              <w:t xml:space="preserve">The Executive Committee </w:t>
            </w:r>
            <w:r w:rsidR="003D0C75">
              <w:t>reserves the right to remove a member of Executive Committee</w:t>
            </w:r>
            <w:r w:rsidR="003700A6">
              <w:t xml:space="preserve"> or demote a member in a leadership role if that member</w:t>
            </w:r>
            <w:r w:rsidR="003D0C75">
              <w:t xml:space="preserve"> </w:t>
            </w:r>
            <w:r>
              <w:t>is not fulfilling their duties or engages in gross misconduct</w:t>
            </w:r>
            <w:r w:rsidR="003D0C75">
              <w:t>.</w:t>
            </w:r>
          </w:p>
          <w:p w14:paraId="2CA70D99" w14:textId="0331AB42" w:rsidR="005A4417" w:rsidRPr="00B34CE6" w:rsidRDefault="00016CBB" w:rsidP="008B7AD3">
            <w:r>
              <w:t>E</w:t>
            </w:r>
            <w:r w:rsidR="0086292F">
              <w:t xml:space="preserve">xecutive </w:t>
            </w:r>
            <w:r w:rsidR="005A4417" w:rsidRPr="00B34CE6">
              <w:t>C</w:t>
            </w:r>
            <w:r w:rsidR="0086292F">
              <w:t>ommittee</w:t>
            </w:r>
            <w:r w:rsidR="005A4417" w:rsidRPr="00B34CE6">
              <w:t xml:space="preserve"> members will be responsible for: </w:t>
            </w:r>
          </w:p>
          <w:p w14:paraId="1FC170D7" w14:textId="77777777" w:rsidR="005A4417" w:rsidRPr="00B34CE6" w:rsidRDefault="005A4417" w:rsidP="008B7AD3">
            <w:pPr>
              <w:pStyle w:val="ListParagraph"/>
              <w:numPr>
                <w:ilvl w:val="0"/>
                <w:numId w:val="2"/>
              </w:numPr>
            </w:pPr>
            <w:r>
              <w:t>Leading the planning committees for</w:t>
            </w:r>
            <w:r w:rsidRPr="00B34CE6">
              <w:t xml:space="preserve"> SORA events (</w:t>
            </w:r>
            <w:r>
              <w:t>which are responsible for</w:t>
            </w:r>
            <w:r w:rsidRPr="00B34CE6">
              <w:t xml:space="preserve"> choosing meeting sites, planning agenda and locating speakers)</w:t>
            </w:r>
            <w:r w:rsidR="00153BC7">
              <w:t>.</w:t>
            </w:r>
          </w:p>
          <w:p w14:paraId="5B129BCE" w14:textId="77777777" w:rsidR="005A4417" w:rsidRPr="00B34CE6" w:rsidRDefault="005A4417" w:rsidP="00BB4BBD">
            <w:pPr>
              <w:pStyle w:val="ListParagraph"/>
              <w:numPr>
                <w:ilvl w:val="0"/>
                <w:numId w:val="2"/>
              </w:numPr>
            </w:pPr>
            <w:r w:rsidRPr="00B34CE6">
              <w:t>Informing members of upcoming meetings</w:t>
            </w:r>
            <w:r>
              <w:t xml:space="preserve">, </w:t>
            </w:r>
            <w:r w:rsidRPr="00B34CE6">
              <w:t>events</w:t>
            </w:r>
            <w:r>
              <w:t>, and volunteer opportunities</w:t>
            </w:r>
            <w:r w:rsidR="00153BC7">
              <w:t>.</w:t>
            </w:r>
          </w:p>
        </w:tc>
      </w:tr>
      <w:tr w:rsidR="005A4417" w:rsidRPr="00B34CE6" w14:paraId="455032AA" w14:textId="77777777" w:rsidTr="00317C25">
        <w:trPr>
          <w:cantSplit/>
        </w:trPr>
        <w:tc>
          <w:tcPr>
            <w:tcW w:w="2250" w:type="dxa"/>
            <w:shd w:val="clear" w:color="auto" w:fill="DAEEF3" w:themeFill="accent5" w:themeFillTint="33"/>
          </w:tcPr>
          <w:p w14:paraId="5C4BF388" w14:textId="77777777" w:rsidR="005A4417" w:rsidRPr="00B34CE6" w:rsidRDefault="005A4417" w:rsidP="008B7AD3">
            <w:pPr>
              <w:rPr>
                <w:rFonts w:asciiTheme="majorHAnsi" w:hAnsiTheme="majorHAnsi"/>
                <w:b/>
              </w:rPr>
            </w:pPr>
            <w:r w:rsidRPr="00B34CE6">
              <w:rPr>
                <w:rFonts w:asciiTheme="majorHAnsi" w:hAnsiTheme="majorHAnsi"/>
                <w:b/>
              </w:rPr>
              <w:t>Decision Making</w:t>
            </w:r>
          </w:p>
        </w:tc>
        <w:tc>
          <w:tcPr>
            <w:tcW w:w="7100" w:type="dxa"/>
          </w:tcPr>
          <w:p w14:paraId="66407CA3" w14:textId="7A89F617" w:rsidR="00CC6749" w:rsidRDefault="005A4417" w:rsidP="00BF7091">
            <w:r>
              <w:t>Decisions will be made during Executive C</w:t>
            </w:r>
            <w:r w:rsidRPr="008B7AD3">
              <w:t>ommittee meetings</w:t>
            </w:r>
            <w:r w:rsidR="00A60020">
              <w:t xml:space="preserve"> with</w:t>
            </w:r>
            <w:r w:rsidR="00CC6749">
              <w:t xml:space="preserve"> a majority of members</w:t>
            </w:r>
            <w:r w:rsidR="00A60020">
              <w:t xml:space="preserve"> in attendance</w:t>
            </w:r>
            <w:r w:rsidR="00CC6749">
              <w:t xml:space="preserve">. </w:t>
            </w:r>
            <w:r w:rsidRPr="008B7AD3">
              <w:t xml:space="preserve"> </w:t>
            </w:r>
            <w:r w:rsidR="00CC6749">
              <w:t>M</w:t>
            </w:r>
            <w:r w:rsidRPr="008B7AD3">
              <w:t>embers not present will accept and support decisions made in their absence.</w:t>
            </w:r>
            <w:r w:rsidR="002047EB">
              <w:t xml:space="preserve"> </w:t>
            </w:r>
          </w:p>
          <w:p w14:paraId="226CDCC1" w14:textId="77777777" w:rsidR="00CC6749" w:rsidRDefault="00CC6749" w:rsidP="00CC6749">
            <w:r w:rsidRPr="008B7AD3">
              <w:t>Decisions</w:t>
            </w:r>
            <w:r>
              <w:t xml:space="preserve"> </w:t>
            </w:r>
            <w:r w:rsidRPr="008B7AD3">
              <w:t xml:space="preserve">will </w:t>
            </w:r>
            <w:r>
              <w:t xml:space="preserve">require a majority vote of all Executive Committee members in attendance to pass, with the exception of proposals to amend bylaws (see above). </w:t>
            </w:r>
          </w:p>
          <w:p w14:paraId="372BD95D" w14:textId="1606EADD" w:rsidR="00CC6749" w:rsidRDefault="00CC6749" w:rsidP="00CC6749">
            <w:r>
              <w:t xml:space="preserve">At the Chair’s discretion, decisions can be made through an e-mail vote of all Executive Committee members. </w:t>
            </w:r>
          </w:p>
          <w:p w14:paraId="4020CC73" w14:textId="4F0673E3" w:rsidR="005A4417" w:rsidRPr="00B34CE6" w:rsidRDefault="002047EB" w:rsidP="00BF7091">
            <w:r>
              <w:t>Decision-making may be delegated to s</w:t>
            </w:r>
            <w:r w:rsidR="005A4417" w:rsidRPr="008B7AD3">
              <w:t>ubgroups</w:t>
            </w:r>
            <w:r>
              <w:t>, which</w:t>
            </w:r>
            <w:r w:rsidR="005A4417" w:rsidRPr="008B7AD3">
              <w:t xml:space="preserve"> may be formed</w:t>
            </w:r>
            <w:r w:rsidR="005A4417" w:rsidRPr="00B34CE6">
              <w:t xml:space="preserve"> if a decision or task is too challenging to complete during the meeting.</w:t>
            </w:r>
          </w:p>
        </w:tc>
      </w:tr>
    </w:tbl>
    <w:p w14:paraId="30B48A43" w14:textId="77777777" w:rsidR="00091B63" w:rsidRPr="00C607A9" w:rsidRDefault="00091B63" w:rsidP="008B7AD3">
      <w:pPr>
        <w:rPr>
          <w:rFonts w:asciiTheme="majorHAnsi" w:hAnsiTheme="majorHAnsi"/>
          <w:b/>
        </w:rPr>
      </w:pPr>
    </w:p>
    <w:sectPr w:rsidR="00091B63" w:rsidRPr="00C607A9" w:rsidSect="002047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10FE" w14:textId="77777777" w:rsidR="00783D35" w:rsidRDefault="00783D35" w:rsidP="001D041C">
      <w:r>
        <w:separator/>
      </w:r>
    </w:p>
  </w:endnote>
  <w:endnote w:type="continuationSeparator" w:id="0">
    <w:p w14:paraId="132A2A50" w14:textId="77777777" w:rsidR="00783D35" w:rsidRDefault="00783D35" w:rsidP="001D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F2C4" w14:textId="77777777" w:rsidR="000D01A2" w:rsidRDefault="000D0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CDBA" w14:textId="578247C8" w:rsidR="001D041C" w:rsidRDefault="001D041C" w:rsidP="001D041C">
    <w:r>
      <w:t xml:space="preserve">Last updated: </w:t>
    </w:r>
    <w:r w:rsidR="000D01A2">
      <w:t>February 12</w:t>
    </w:r>
    <w:r w:rsidR="0026478C">
      <w:t xml:space="preserve">, </w:t>
    </w:r>
    <w:r w:rsidR="00F860E3">
      <w:t>2019</w:t>
    </w:r>
  </w:p>
  <w:p w14:paraId="204AF951" w14:textId="29B980AB" w:rsidR="001D041C" w:rsidRDefault="001D041C" w:rsidP="001D041C">
    <w:r>
      <w:t xml:space="preserve">Approved: </w:t>
    </w:r>
    <w:r w:rsidR="009E117F">
      <w:t xml:space="preserve">February </w:t>
    </w:r>
    <w:r w:rsidR="000D01A2">
      <w:t>12</w:t>
    </w:r>
    <w:r w:rsidR="0026478C">
      <w:t>, 201</w:t>
    </w:r>
    <w:r w:rsidR="000D01A2">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770F" w14:textId="77777777" w:rsidR="000D01A2" w:rsidRDefault="000D0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DA00F" w14:textId="77777777" w:rsidR="00783D35" w:rsidRDefault="00783D35" w:rsidP="001D041C">
      <w:r>
        <w:separator/>
      </w:r>
    </w:p>
  </w:footnote>
  <w:footnote w:type="continuationSeparator" w:id="0">
    <w:p w14:paraId="5C879A82" w14:textId="77777777" w:rsidR="00783D35" w:rsidRDefault="00783D35" w:rsidP="001D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E235" w14:textId="77777777" w:rsidR="000D01A2" w:rsidRDefault="000D0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0728" w14:textId="77777777" w:rsidR="000D01A2" w:rsidRDefault="000D0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B784" w14:textId="77777777" w:rsidR="000D01A2" w:rsidRDefault="000D0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9E6"/>
    <w:multiLevelType w:val="hybridMultilevel"/>
    <w:tmpl w:val="C7A8EC38"/>
    <w:lvl w:ilvl="0" w:tplc="7846899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A1D02"/>
    <w:multiLevelType w:val="hybridMultilevel"/>
    <w:tmpl w:val="1AFE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83936"/>
    <w:multiLevelType w:val="hybridMultilevel"/>
    <w:tmpl w:val="0FC44828"/>
    <w:lvl w:ilvl="0" w:tplc="78468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9A2C8E"/>
    <w:multiLevelType w:val="hybridMultilevel"/>
    <w:tmpl w:val="160E5C40"/>
    <w:lvl w:ilvl="0" w:tplc="925EA4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1A420D"/>
    <w:multiLevelType w:val="hybridMultilevel"/>
    <w:tmpl w:val="249A6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87"/>
    <w:rsid w:val="0000173A"/>
    <w:rsid w:val="000035A3"/>
    <w:rsid w:val="000065DA"/>
    <w:rsid w:val="00016CBB"/>
    <w:rsid w:val="00027779"/>
    <w:rsid w:val="00035802"/>
    <w:rsid w:val="00072DCF"/>
    <w:rsid w:val="00091B63"/>
    <w:rsid w:val="000D01A2"/>
    <w:rsid w:val="00153BC7"/>
    <w:rsid w:val="00181ED7"/>
    <w:rsid w:val="001849C6"/>
    <w:rsid w:val="00192633"/>
    <w:rsid w:val="00192A9A"/>
    <w:rsid w:val="001D041C"/>
    <w:rsid w:val="002047EB"/>
    <w:rsid w:val="00213ABB"/>
    <w:rsid w:val="0024424C"/>
    <w:rsid w:val="00255671"/>
    <w:rsid w:val="0026478C"/>
    <w:rsid w:val="002929E4"/>
    <w:rsid w:val="002B29E4"/>
    <w:rsid w:val="002C028A"/>
    <w:rsid w:val="00317C25"/>
    <w:rsid w:val="00324CC3"/>
    <w:rsid w:val="00346629"/>
    <w:rsid w:val="00350B69"/>
    <w:rsid w:val="00362617"/>
    <w:rsid w:val="00363862"/>
    <w:rsid w:val="003700A6"/>
    <w:rsid w:val="003A7A0B"/>
    <w:rsid w:val="003D0C75"/>
    <w:rsid w:val="003D7990"/>
    <w:rsid w:val="003F7655"/>
    <w:rsid w:val="004A3F43"/>
    <w:rsid w:val="004C351A"/>
    <w:rsid w:val="004E453C"/>
    <w:rsid w:val="00526ADE"/>
    <w:rsid w:val="00527D11"/>
    <w:rsid w:val="00532355"/>
    <w:rsid w:val="0053476D"/>
    <w:rsid w:val="00536385"/>
    <w:rsid w:val="00553D07"/>
    <w:rsid w:val="00571887"/>
    <w:rsid w:val="005A4417"/>
    <w:rsid w:val="005A696F"/>
    <w:rsid w:val="005C4DDA"/>
    <w:rsid w:val="00643C18"/>
    <w:rsid w:val="006473AB"/>
    <w:rsid w:val="006504D2"/>
    <w:rsid w:val="00701AD7"/>
    <w:rsid w:val="00732273"/>
    <w:rsid w:val="00752172"/>
    <w:rsid w:val="00757EE7"/>
    <w:rsid w:val="00783D35"/>
    <w:rsid w:val="007A0821"/>
    <w:rsid w:val="007A0D07"/>
    <w:rsid w:val="007A5956"/>
    <w:rsid w:val="007A5B5C"/>
    <w:rsid w:val="007B4465"/>
    <w:rsid w:val="007C5EA5"/>
    <w:rsid w:val="007E1A23"/>
    <w:rsid w:val="00801965"/>
    <w:rsid w:val="00811F3B"/>
    <w:rsid w:val="0081632E"/>
    <w:rsid w:val="0081643F"/>
    <w:rsid w:val="008521A2"/>
    <w:rsid w:val="00861EB5"/>
    <w:rsid w:val="0086292F"/>
    <w:rsid w:val="00892F3C"/>
    <w:rsid w:val="008B7AD3"/>
    <w:rsid w:val="0090407D"/>
    <w:rsid w:val="009379BD"/>
    <w:rsid w:val="009445A9"/>
    <w:rsid w:val="00965DB4"/>
    <w:rsid w:val="00966612"/>
    <w:rsid w:val="009770A8"/>
    <w:rsid w:val="009A6810"/>
    <w:rsid w:val="009C2411"/>
    <w:rsid w:val="009E117F"/>
    <w:rsid w:val="009E27E5"/>
    <w:rsid w:val="009E2977"/>
    <w:rsid w:val="00A14BBE"/>
    <w:rsid w:val="00A43B81"/>
    <w:rsid w:val="00A60020"/>
    <w:rsid w:val="00A72876"/>
    <w:rsid w:val="00A94907"/>
    <w:rsid w:val="00AB3905"/>
    <w:rsid w:val="00AC0648"/>
    <w:rsid w:val="00AD67C6"/>
    <w:rsid w:val="00AD6C94"/>
    <w:rsid w:val="00AF4205"/>
    <w:rsid w:val="00B34CE6"/>
    <w:rsid w:val="00B61D2C"/>
    <w:rsid w:val="00BB4BBD"/>
    <w:rsid w:val="00BB74A0"/>
    <w:rsid w:val="00BE1052"/>
    <w:rsid w:val="00BE7A7B"/>
    <w:rsid w:val="00BF2465"/>
    <w:rsid w:val="00BF7091"/>
    <w:rsid w:val="00C305A3"/>
    <w:rsid w:val="00C607A9"/>
    <w:rsid w:val="00C61D80"/>
    <w:rsid w:val="00CC42DA"/>
    <w:rsid w:val="00CC6749"/>
    <w:rsid w:val="00CF0895"/>
    <w:rsid w:val="00CF6489"/>
    <w:rsid w:val="00D16963"/>
    <w:rsid w:val="00D732AE"/>
    <w:rsid w:val="00D743B3"/>
    <w:rsid w:val="00D904C6"/>
    <w:rsid w:val="00DC13A3"/>
    <w:rsid w:val="00E01601"/>
    <w:rsid w:val="00E220D5"/>
    <w:rsid w:val="00E24C64"/>
    <w:rsid w:val="00E87D95"/>
    <w:rsid w:val="00EC2506"/>
    <w:rsid w:val="00EC5712"/>
    <w:rsid w:val="00ED531B"/>
    <w:rsid w:val="00EF6345"/>
    <w:rsid w:val="00F860E3"/>
    <w:rsid w:val="00FA3838"/>
    <w:rsid w:val="00FA50C7"/>
    <w:rsid w:val="00FB781A"/>
    <w:rsid w:val="00FD18C9"/>
    <w:rsid w:val="00FD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6F8732"/>
  <w15:docId w15:val="{C8C06D08-C80F-4DE6-A50F-7257B57C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6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862"/>
    <w:pPr>
      <w:ind w:left="720"/>
      <w:contextualSpacing/>
    </w:pPr>
  </w:style>
  <w:style w:type="paragraph" w:styleId="Header">
    <w:name w:val="header"/>
    <w:basedOn w:val="Normal"/>
    <w:link w:val="HeaderChar"/>
    <w:uiPriority w:val="99"/>
    <w:unhideWhenUsed/>
    <w:rsid w:val="001D041C"/>
    <w:pPr>
      <w:tabs>
        <w:tab w:val="center" w:pos="4680"/>
        <w:tab w:val="right" w:pos="9360"/>
      </w:tabs>
    </w:pPr>
  </w:style>
  <w:style w:type="character" w:customStyle="1" w:styleId="HeaderChar">
    <w:name w:val="Header Char"/>
    <w:basedOn w:val="DefaultParagraphFont"/>
    <w:link w:val="Header"/>
    <w:uiPriority w:val="99"/>
    <w:rsid w:val="001D041C"/>
  </w:style>
  <w:style w:type="paragraph" w:styleId="Footer">
    <w:name w:val="footer"/>
    <w:basedOn w:val="Normal"/>
    <w:link w:val="FooterChar"/>
    <w:uiPriority w:val="99"/>
    <w:unhideWhenUsed/>
    <w:rsid w:val="001D041C"/>
    <w:pPr>
      <w:tabs>
        <w:tab w:val="center" w:pos="4680"/>
        <w:tab w:val="right" w:pos="9360"/>
      </w:tabs>
    </w:pPr>
  </w:style>
  <w:style w:type="character" w:customStyle="1" w:styleId="FooterChar">
    <w:name w:val="Footer Char"/>
    <w:basedOn w:val="DefaultParagraphFont"/>
    <w:link w:val="Footer"/>
    <w:uiPriority w:val="99"/>
    <w:rsid w:val="001D041C"/>
  </w:style>
  <w:style w:type="paragraph" w:styleId="BalloonText">
    <w:name w:val="Balloon Text"/>
    <w:basedOn w:val="Normal"/>
    <w:link w:val="BalloonTextChar"/>
    <w:uiPriority w:val="99"/>
    <w:semiHidden/>
    <w:unhideWhenUsed/>
    <w:rsid w:val="002047EB"/>
    <w:rPr>
      <w:rFonts w:ascii="Tahoma" w:hAnsi="Tahoma" w:cs="Tahoma"/>
      <w:sz w:val="16"/>
      <w:szCs w:val="16"/>
    </w:rPr>
  </w:style>
  <w:style w:type="character" w:customStyle="1" w:styleId="BalloonTextChar">
    <w:name w:val="Balloon Text Char"/>
    <w:basedOn w:val="DefaultParagraphFont"/>
    <w:link w:val="BalloonText"/>
    <w:uiPriority w:val="99"/>
    <w:semiHidden/>
    <w:rsid w:val="002047EB"/>
    <w:rPr>
      <w:rFonts w:ascii="Tahoma" w:hAnsi="Tahoma" w:cs="Tahoma"/>
      <w:sz w:val="16"/>
      <w:szCs w:val="16"/>
    </w:rPr>
  </w:style>
  <w:style w:type="character" w:styleId="CommentReference">
    <w:name w:val="annotation reference"/>
    <w:basedOn w:val="DefaultParagraphFont"/>
    <w:uiPriority w:val="99"/>
    <w:semiHidden/>
    <w:unhideWhenUsed/>
    <w:rsid w:val="00BB74A0"/>
    <w:rPr>
      <w:sz w:val="16"/>
      <w:szCs w:val="16"/>
    </w:rPr>
  </w:style>
  <w:style w:type="paragraph" w:styleId="CommentText">
    <w:name w:val="annotation text"/>
    <w:basedOn w:val="Normal"/>
    <w:link w:val="CommentTextChar"/>
    <w:uiPriority w:val="99"/>
    <w:semiHidden/>
    <w:unhideWhenUsed/>
    <w:rsid w:val="00BB74A0"/>
    <w:rPr>
      <w:sz w:val="20"/>
      <w:szCs w:val="20"/>
    </w:rPr>
  </w:style>
  <w:style w:type="character" w:customStyle="1" w:styleId="CommentTextChar">
    <w:name w:val="Comment Text Char"/>
    <w:basedOn w:val="DefaultParagraphFont"/>
    <w:link w:val="CommentText"/>
    <w:uiPriority w:val="99"/>
    <w:semiHidden/>
    <w:rsid w:val="00BB74A0"/>
    <w:rPr>
      <w:sz w:val="20"/>
      <w:szCs w:val="20"/>
    </w:rPr>
  </w:style>
  <w:style w:type="paragraph" w:styleId="CommentSubject">
    <w:name w:val="annotation subject"/>
    <w:basedOn w:val="CommentText"/>
    <w:next w:val="CommentText"/>
    <w:link w:val="CommentSubjectChar"/>
    <w:uiPriority w:val="99"/>
    <w:semiHidden/>
    <w:unhideWhenUsed/>
    <w:rsid w:val="00BB74A0"/>
    <w:rPr>
      <w:b/>
      <w:bCs/>
    </w:rPr>
  </w:style>
  <w:style w:type="character" w:customStyle="1" w:styleId="CommentSubjectChar">
    <w:name w:val="Comment Subject Char"/>
    <w:basedOn w:val="CommentTextChar"/>
    <w:link w:val="CommentSubject"/>
    <w:uiPriority w:val="99"/>
    <w:semiHidden/>
    <w:rsid w:val="00BB7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3667">
      <w:bodyDiv w:val="1"/>
      <w:marLeft w:val="0"/>
      <w:marRight w:val="0"/>
      <w:marTop w:val="0"/>
      <w:marBottom w:val="0"/>
      <w:divBdr>
        <w:top w:val="none" w:sz="0" w:space="0" w:color="auto"/>
        <w:left w:val="none" w:sz="0" w:space="0" w:color="auto"/>
        <w:bottom w:val="none" w:sz="0" w:space="0" w:color="auto"/>
        <w:right w:val="none" w:sz="0" w:space="0" w:color="auto"/>
      </w:divBdr>
    </w:div>
    <w:div w:id="501701681">
      <w:bodyDiv w:val="1"/>
      <w:marLeft w:val="0"/>
      <w:marRight w:val="0"/>
      <w:marTop w:val="0"/>
      <w:marBottom w:val="0"/>
      <w:divBdr>
        <w:top w:val="none" w:sz="0" w:space="0" w:color="auto"/>
        <w:left w:val="none" w:sz="0" w:space="0" w:color="auto"/>
        <w:bottom w:val="none" w:sz="0" w:space="0" w:color="auto"/>
        <w:right w:val="none" w:sz="0" w:space="0" w:color="auto"/>
      </w:divBdr>
    </w:div>
    <w:div w:id="13682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2C20-8DC7-4690-B98B-96C00A0A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1A476F9A.dotm</Template>
  <TotalTime>2</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Natasha L</dc:creator>
  <cp:lastModifiedBy>Karen Howard</cp:lastModifiedBy>
  <cp:revision>3</cp:revision>
  <cp:lastPrinted>2018-03-13T19:54:00Z</cp:lastPrinted>
  <dcterms:created xsi:type="dcterms:W3CDTF">2019-03-04T20:06:00Z</dcterms:created>
  <dcterms:modified xsi:type="dcterms:W3CDTF">2019-03-04T20:08:00Z</dcterms:modified>
</cp:coreProperties>
</file>